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ind w:left="0" w:right="-630" w:firstLine="0"/>
        <w:jc w:val="center"/>
        <w:rPr/>
      </w:pPr>
      <w:bookmarkStart w:colFirst="0" w:colLast="0" w:name="_rp9zsnfnpeug" w:id="0"/>
      <w:bookmarkEnd w:id="0"/>
      <w:r w:rsidDel="00000000" w:rsidR="00000000" w:rsidRPr="00000000">
        <w:rPr>
          <w:rtl w:val="0"/>
        </w:rPr>
        <w:t xml:space="preserve">September is Attendance Awareness Month, you can celebrate #AttendanceAwareness all year long!</w:t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smallCaps w:val="1"/>
        </w:rPr>
      </w:pPr>
      <w:bookmarkStart w:colFirst="0" w:colLast="0" w:name="_gjdgxs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0920.0" w:type="dxa"/>
        <w:jc w:val="left"/>
        <w:tblInd w:w="-720.0" w:type="dxa"/>
        <w:tblBorders>
          <w:top w:color="b2a1c7" w:space="0" w:sz="4" w:val="single"/>
          <w:left w:color="b2a1c7" w:space="0" w:sz="4" w:val="single"/>
          <w:bottom w:color="b2a1c7" w:space="0" w:sz="4" w:val="single"/>
          <w:right w:color="b2a1c7" w:space="0" w:sz="4" w:val="single"/>
          <w:insideH w:color="b2a1c7" w:space="0" w:sz="4" w:val="single"/>
          <w:insideV w:color="b2a1c7" w:space="0" w:sz="4" w:val="single"/>
        </w:tblBorders>
        <w:tblLayout w:type="fixed"/>
        <w:tblLook w:val="0420"/>
      </w:tblPr>
      <w:tblGrid>
        <w:gridCol w:w="2265"/>
        <w:gridCol w:w="8655"/>
        <w:tblGridChange w:id="0">
          <w:tblGrid>
            <w:gridCol w:w="2265"/>
            <w:gridCol w:w="8655"/>
          </w:tblGrid>
        </w:tblGridChange>
      </w:tblGrid>
      <w:tr>
        <w:trPr>
          <w:cantSplit w:val="0"/>
          <w:trHeight w:val="343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ffffff" w:space="0" w:sz="24" w:val="single"/>
            </w:tcBorders>
            <w:shd w:fill="e2cbff" w:val="clear"/>
          </w:tcPr>
          <w:p w:rsidR="00000000" w:rsidDel="00000000" w:rsidP="00000000" w:rsidRDefault="00000000" w:rsidRPr="00000000" w14:paraId="00000003">
            <w:pPr>
              <w:rPr>
                <w:b w:val="0"/>
                <w:smallCaps w:val="1"/>
                <w:color w:val="31849b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70487</wp:posOffset>
                  </wp:positionH>
                  <wp:positionV relativeFrom="paragraph">
                    <wp:posOffset>291465</wp:posOffset>
                  </wp:positionV>
                  <wp:extent cx="704850" cy="533400"/>
                  <wp:effectExtent b="0" l="0" r="0" t="0"/>
                  <wp:wrapSquare wrapText="bothSides" distB="0" distT="0" distL="114300" distR="114300"/>
                  <wp:docPr id="2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533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Borders>
              <w:top w:color="000000" w:space="0" w:sz="0" w:val="nil"/>
              <w:bottom w:color="ffffff" w:space="0" w:sz="24" w:val="single"/>
              <w:right w:color="000000" w:space="0" w:sz="0" w:val="nil"/>
            </w:tcBorders>
            <w:shd w:fill="e2cbff" w:val="clear"/>
            <w:vAlign w:val="center"/>
          </w:tcPr>
          <w:p w:rsidR="00000000" w:rsidDel="00000000" w:rsidP="00000000" w:rsidRDefault="00000000" w:rsidRPr="00000000" w14:paraId="00000004">
            <w:pPr>
              <w:spacing w:after="0" w:before="0" w:line="276" w:lineRule="auto"/>
              <w:rPr>
                <w:b w:val="0"/>
                <w:color w:val="404040"/>
                <w:sz w:val="24"/>
                <w:szCs w:val="24"/>
              </w:rPr>
            </w:pPr>
            <w:r w:rsidDel="00000000" w:rsidR="00000000" w:rsidRPr="00000000">
              <w:rPr>
                <w:b w:val="0"/>
                <w:color w:val="404040"/>
                <w:sz w:val="24"/>
                <w:szCs w:val="24"/>
                <w:rtl w:val="0"/>
              </w:rPr>
              <w:t xml:space="preserve">To get you started, we have four example social media </w:t>
            </w:r>
            <w:r w:rsidDel="00000000" w:rsidR="00000000" w:rsidRPr="00000000">
              <w:rPr>
                <w:b w:val="0"/>
                <w:color w:val="404040"/>
                <w:sz w:val="24"/>
                <w:szCs w:val="24"/>
                <w:rtl w:val="0"/>
              </w:rPr>
              <w:t xml:space="preserve">posts.  You can download this file, then copy and paste the posts you like best for your social platforms every few days in September—and beyond.</w:t>
            </w:r>
          </w:p>
          <w:p w:rsidR="00000000" w:rsidDel="00000000" w:rsidP="00000000" w:rsidRDefault="00000000" w:rsidRPr="00000000" w14:paraId="00000005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b w:val="0"/>
                <w:color w:val="404040"/>
                <w:rtl w:val="0"/>
              </w:rPr>
              <w:t xml:space="preserve">Some hashtag options:</w:t>
            </w:r>
          </w:p>
          <w:p w:rsidR="00000000" w:rsidDel="00000000" w:rsidP="00000000" w:rsidRDefault="00000000" w:rsidRPr="00000000" w14:paraId="00000007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b w:val="0"/>
                <w:color w:val="404040"/>
                <w:rtl w:val="0"/>
              </w:rPr>
              <w:t xml:space="preserve">#AttendanceAwareness #AttendanceMatters</w:t>
            </w:r>
          </w:p>
          <w:p w:rsidR="00000000" w:rsidDel="00000000" w:rsidP="00000000" w:rsidRDefault="00000000" w:rsidRPr="00000000" w14:paraId="00000008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b w:val="0"/>
                <w:color w:val="404040"/>
                <w:rtl w:val="0"/>
              </w:rPr>
              <w:t xml:space="preserve">#SAAM—September is Attendance Awareness Month</w:t>
            </w:r>
          </w:p>
          <w:p w:rsidR="00000000" w:rsidDel="00000000" w:rsidP="00000000" w:rsidRDefault="00000000" w:rsidRPr="00000000" w14:paraId="00000009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b w:val="0"/>
                <w:color w:val="404040"/>
                <w:rtl w:val="0"/>
              </w:rPr>
              <w:t xml:space="preserve">#K12Achievement—Achieving attendance goals from Kindergarten to 12</w:t>
            </w:r>
            <w:r w:rsidDel="00000000" w:rsidR="00000000" w:rsidRPr="00000000">
              <w:rPr>
                <w:b w:val="0"/>
                <w:color w:val="404040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b w:val="0"/>
                <w:color w:val="404040"/>
                <w:rtl w:val="0"/>
              </w:rPr>
              <w:t xml:space="preserve"> grade</w:t>
            </w:r>
          </w:p>
          <w:p w:rsidR="00000000" w:rsidDel="00000000" w:rsidP="00000000" w:rsidRDefault="00000000" w:rsidRPr="00000000" w14:paraId="0000000A">
            <w:pPr>
              <w:spacing w:after="0" w:before="0" w:line="276" w:lineRule="auto"/>
              <w:rPr>
                <w:b w:val="0"/>
                <w:color w:val="404040"/>
              </w:rPr>
            </w:pPr>
            <w:r w:rsidDel="00000000" w:rsidR="00000000" w:rsidRPr="00000000">
              <w:rPr>
                <w:b w:val="0"/>
                <w:color w:val="404040"/>
                <w:rtl w:val="0"/>
              </w:rPr>
              <w:t xml:space="preserve">#K12Education—A broader umbrella for your posts</w:t>
            </w:r>
          </w:p>
          <w:p w:rsidR="00000000" w:rsidDel="00000000" w:rsidP="00000000" w:rsidRDefault="00000000" w:rsidRPr="00000000" w14:paraId="0000000B">
            <w:pPr>
              <w:spacing w:after="0" w:before="0" w:line="276" w:lineRule="auto"/>
              <w:rPr>
                <w:b w:val="0"/>
                <w:i w:val="1"/>
                <w:color w:val="404040"/>
              </w:rPr>
            </w:pPr>
            <w:r w:rsidDel="00000000" w:rsidR="00000000" w:rsidRPr="00000000">
              <w:rPr>
                <w:b w:val="0"/>
                <w:i w:val="1"/>
                <w:color w:val="404040"/>
                <w:rtl w:val="0"/>
              </w:rPr>
              <w:t xml:space="preserve">And don’t forget to add your school or district hashtags!</w:t>
            </w:r>
          </w:p>
        </w:tc>
      </w:tr>
    </w:tbl>
    <w:p w:rsidR="00000000" w:rsidDel="00000000" w:rsidP="00000000" w:rsidRDefault="00000000" w:rsidRPr="00000000" w14:paraId="0000000C">
      <w:pPr>
        <w:spacing w:line="276" w:lineRule="auto"/>
        <w:rPr>
          <w:smallCaps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890.0" w:type="dxa"/>
        <w:jc w:val="left"/>
        <w:tblInd w:w="-723.0" w:type="dxa"/>
        <w:tblBorders>
          <w:top w:color="b2a1c7" w:space="0" w:sz="4" w:val="single"/>
          <w:left w:color="b2a1c7" w:space="0" w:sz="4" w:val="single"/>
          <w:bottom w:color="b2a1c7" w:space="0" w:sz="4" w:val="single"/>
          <w:right w:color="b2a1c7" w:space="0" w:sz="4" w:val="single"/>
          <w:insideH w:color="b2a1c7" w:space="0" w:sz="4" w:val="single"/>
          <w:insideV w:color="b2a1c7" w:space="0" w:sz="4" w:val="single"/>
        </w:tblBorders>
        <w:tblLayout w:type="fixed"/>
        <w:tblLook w:val="0420"/>
      </w:tblPr>
      <w:tblGrid>
        <w:gridCol w:w="5820"/>
        <w:gridCol w:w="5070"/>
        <w:tblGridChange w:id="0">
          <w:tblGrid>
            <w:gridCol w:w="5820"/>
            <w:gridCol w:w="5070"/>
          </w:tblGrid>
        </w:tblGridChange>
      </w:tblGrid>
      <w:tr>
        <w:trPr>
          <w:cantSplit w:val="0"/>
          <w:trHeight w:val="248" w:hRule="atLeast"/>
          <w:tblHeader w:val="0"/>
        </w:trPr>
        <w:tc>
          <w:tcPr>
            <w:tcBorders>
              <w:top w:color="ffffff" w:space="0" w:sz="2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434343" w:val="clear"/>
          </w:tcPr>
          <w:p w:rsidR="00000000" w:rsidDel="00000000" w:rsidP="00000000" w:rsidRDefault="00000000" w:rsidRPr="00000000" w14:paraId="0000000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English</w:t>
            </w:r>
          </w:p>
        </w:tc>
        <w:tc>
          <w:tcPr>
            <w:tcBorders>
              <w:top w:color="ffffff" w:space="0" w:sz="2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434343" w:val="clear"/>
          </w:tcPr>
          <w:p w:rsidR="00000000" w:rsidDel="00000000" w:rsidP="00000000" w:rsidRDefault="00000000" w:rsidRPr="00000000" w14:paraId="0000000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Spanish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f3f3f3" w:val="clea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Missing just 2 days a month (chronic absenteeism) in kindergarten is linked to lower achievement in fifth grade reading and math. #AttendanceAwareness #AttendanceMatters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b w:val="1"/>
                <w:color w:val="ff00ff"/>
              </w:rPr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You learn something new every day</w:t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f3f3f3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Faltar 2 días cada mes (absentismo crónico) en el jardín de niños está relacionado con bajas calificaciones en quinto grado. #AttendanceAwareness #AttendanceMatters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Tu aprendes algo nuevo cada dia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a6a6a6" w:space="0" w:sz="4" w:val="single"/>
              <w:left w:color="a6a6a6" w:space="0" w:sz="4" w:val="single"/>
              <w:bottom w:color="000000" w:space="0" w:sz="0" w:val="nil"/>
              <w:right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Attendance is directly linked to student achievement.  #AttendanceAwareness #K12Achievement</w:t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Attendance = success!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a6a6" w:space="0" w:sz="4" w:val="single"/>
              <w:left w:color="a6a6a6" w:space="0" w:sz="4" w:val="single"/>
              <w:bottom w:color="000000" w:space="0" w:sz="0" w:val="nil"/>
              <w:right w:color="a6a6a6" w:space="0" w:sz="4" w:val="single"/>
            </w:tcBorders>
            <w:shd w:fill="d9d9d9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La asistencia escolar está directamente relacionada con el rendimiento estudiantil.</w:t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 #K12Achievement #SAAM #AttendanceAwareness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¡Asistencia = éxito!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68" w:hRule="atLeast"/>
          <w:tblHeader w:val="0"/>
        </w:trPr>
        <w:tc>
          <w:tcPr>
            <w:tcBorders>
              <w:top w:color="000000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f3f3f3" w:val="clea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Our pledge is to create a culture of attendance every month and every day, all year long.  #AttendanceAwareness #AttendanceMatters #K12Edcuation</w:t>
            </w:r>
          </w:p>
          <w:p w:rsidR="00000000" w:rsidDel="00000000" w:rsidP="00000000" w:rsidRDefault="00000000" w:rsidRPr="00000000" w14:paraId="0000001B">
            <w:pPr>
              <w:rPr>
                <w:b w:val="1"/>
                <w:color w:val="ff00ff"/>
              </w:rPr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Make attendance a priority every day</w:t>
            </w:r>
          </w:p>
        </w:tc>
        <w:tc>
          <w:tcPr>
            <w:tcBorders>
              <w:top w:color="000000" w:space="0" w:sz="4" w:val="single"/>
              <w:left w:color="a6a6a6" w:space="0" w:sz="4" w:val="single"/>
              <w:bottom w:color="a6a6a6" w:space="0" w:sz="4" w:val="single"/>
              <w:right w:color="a6a6a6" w:space="0" w:sz="4" w:val="single"/>
            </w:tcBorders>
            <w:shd w:fill="f3f3f3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Nuestro compromiso es crear una cultura de asistencia todos los meses y todos los días del año. #K12Educaation #AttendanceAwareness</w:t>
            </w:r>
          </w:p>
          <w:p w:rsidR="00000000" w:rsidDel="00000000" w:rsidP="00000000" w:rsidRDefault="00000000" w:rsidRPr="00000000" w14:paraId="0000001D">
            <w:pPr>
              <w:rPr>
                <w:b w:val="1"/>
                <w:color w:val="ff00ff"/>
              </w:rPr>
            </w:pPr>
            <w:r w:rsidDel="00000000" w:rsidR="00000000" w:rsidRPr="00000000">
              <w:rPr>
                <w:b w:val="1"/>
                <w:color w:val="ff00ff"/>
                <w:rtl w:val="0"/>
              </w:rPr>
              <w:t xml:space="preserve">On-image copy (delete this note once design is complete!): Haga de la asistencia una prioridad todos los días</w:t>
            </w:r>
          </w:p>
        </w:tc>
      </w:tr>
    </w:tbl>
    <w:p w:rsidR="00000000" w:rsidDel="00000000" w:rsidP="00000000" w:rsidRDefault="00000000" w:rsidRPr="00000000" w14:paraId="0000001E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216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Public Sans Medium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ublic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ublic Sans SemiBold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1">
    <w:pPr>
      <w:ind w:right="6.666666666666288"/>
      <w:jc w:val="left"/>
      <w:rPr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ind w:right="6.666666666666288"/>
      <w:jc w:val="left"/>
      <w:rPr>
        <w:sz w:val="20"/>
        <w:szCs w:val="20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ind w:right="6.666666666666288"/>
      <w:jc w:val="center"/>
      <w:rPr>
        <w:b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ind w:right="6.666666666666288"/>
      <w:jc w:val="center"/>
      <w:rPr>
        <w:sz w:val="20"/>
        <w:szCs w:val="20"/>
      </w:rPr>
    </w:pPr>
    <w:r w:rsidDel="00000000" w:rsidR="00000000" w:rsidRPr="00000000">
      <w:rPr>
        <w:b w:val="1"/>
        <w:sz w:val="20"/>
        <w:szCs w:val="20"/>
        <w:rtl w:val="0"/>
      </w:rPr>
      <w:t xml:space="preserve">©</w:t>
    </w:r>
    <w:r w:rsidDel="00000000" w:rsidR="00000000" w:rsidRPr="00000000">
      <w:rPr>
        <w:sz w:val="20"/>
        <w:szCs w:val="20"/>
        <w:rtl w:val="0"/>
      </w:rPr>
      <w:t xml:space="preserve"> 2024 SchoolStatus</w:t>
    </w:r>
    <w:r w:rsidDel="00000000" w:rsidR="00000000" w:rsidRPr="00000000">
      <w:rPr>
        <w:b w:val="1"/>
        <w:sz w:val="20"/>
        <w:szCs w:val="20"/>
        <w:rtl w:val="0"/>
      </w:rPr>
      <w:t xml:space="preserve">  E</w:t>
    </w:r>
    <w:r w:rsidDel="00000000" w:rsidR="00000000" w:rsidRPr="00000000">
      <w:rPr>
        <w:sz w:val="20"/>
        <w:szCs w:val="20"/>
        <w:rtl w:val="0"/>
      </w:rPr>
      <w:t xml:space="preserve">: contact@schoolstatus.com    </w:t>
    </w:r>
    <w:r w:rsidDel="00000000" w:rsidR="00000000" w:rsidRPr="00000000">
      <w:rPr>
        <w:b w:val="1"/>
        <w:sz w:val="20"/>
        <w:szCs w:val="20"/>
        <w:rtl w:val="0"/>
      </w:rPr>
      <w:t xml:space="preserve">P</w:t>
    </w:r>
    <w:r w:rsidDel="00000000" w:rsidR="00000000" w:rsidRPr="00000000">
      <w:rPr>
        <w:sz w:val="20"/>
        <w:szCs w:val="20"/>
        <w:rtl w:val="0"/>
      </w:rPr>
      <w:t xml:space="preserve">: +1 855-9-STATUS    </w:t>
    </w:r>
    <w:r w:rsidDel="00000000" w:rsidR="00000000" w:rsidRPr="00000000">
      <w:rPr>
        <w:b w:val="1"/>
        <w:sz w:val="20"/>
        <w:szCs w:val="20"/>
        <w:rtl w:val="0"/>
      </w:rPr>
      <w:t xml:space="preserve">W</w:t>
    </w:r>
    <w:r w:rsidDel="00000000" w:rsidR="00000000" w:rsidRPr="00000000">
      <w:rPr>
        <w:sz w:val="20"/>
        <w:szCs w:val="20"/>
        <w:rtl w:val="0"/>
      </w:rPr>
      <w:t xml:space="preserve">: schoolstatus.com</w:t>
    </w:r>
  </w:p>
  <w:p w:rsidR="00000000" w:rsidDel="00000000" w:rsidP="00000000" w:rsidRDefault="00000000" w:rsidRPr="00000000" w14:paraId="00000025">
    <w:pPr>
      <w:ind w:right="6.666666666666288"/>
      <w:jc w:val="left"/>
      <w:rPr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F">
    <w:pPr>
      <w:ind w:right="6.666666666666288"/>
      <w:rPr>
        <w:rFonts w:ascii="Public Sans" w:cs="Public Sans" w:eastAsia="Public Sans" w:hAnsi="Public Sans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-981074</wp:posOffset>
          </wp:positionH>
          <wp:positionV relativeFrom="paragraph">
            <wp:posOffset>0</wp:posOffset>
          </wp:positionV>
          <wp:extent cx="8086725" cy="1042988"/>
          <wp:effectExtent b="0" l="0" r="0" t="0"/>
          <wp:wrapSquare wrapText="bothSides" distB="0" distT="0" distL="0" distR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1759" r="1759" t="0"/>
                  <a:stretch>
                    <a:fillRect/>
                  </a:stretch>
                </pic:blipFill>
                <pic:spPr>
                  <a:xfrm>
                    <a:off x="0" y="0"/>
                    <a:ext cx="8086725" cy="10429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0">
    <w:pPr>
      <w:ind w:left="-1440" w:right="-1440" w:firstLine="0"/>
      <w:rPr>
        <w:rFonts w:ascii="Public Sans" w:cs="Public Sans" w:eastAsia="Public Sans" w:hAnsi="Public Sans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Public Sans" w:cs="Public Sans" w:eastAsia="Public Sans" w:hAnsi="Public Sans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ind w:right="0"/>
    </w:pPr>
    <w:rPr>
      <w:rFonts w:ascii="Public Sans SemiBold" w:cs="Public Sans SemiBold" w:eastAsia="Public Sans SemiBold" w:hAnsi="Public Sans SemiBold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rFonts w:ascii="Public Sans Medium" w:cs="Public Sans Medium" w:eastAsia="Public Sans Medium" w:hAnsi="Public Sans Medium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Public Sans Medium" w:cs="Public Sans Medium" w:eastAsia="Public Sans Medium" w:hAnsi="Public Sans Medium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</w:pPr>
    <w:rPr>
      <w:rFonts w:ascii="Public Sans SemiBold" w:cs="Public Sans SemiBold" w:eastAsia="Public Sans SemiBold" w:hAnsi="Public Sans SemiBold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</w:pPr>
    <w:rPr>
      <w:rFonts w:ascii="Public Sans SemiBold" w:cs="Public Sans SemiBold" w:eastAsia="Public Sans SemiBold" w:hAnsi="Public Sans SemiBold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72.0" w:type="dxa"/>
        <w:left w:w="72.0" w:type="dxa"/>
        <w:bottom w:w="72.0" w:type="dxa"/>
        <w:right w:w="72.0" w:type="dxa"/>
      </w:tblCellMar>
    </w:tblPr>
    <w:tblStylePr w:type="band1Horz">
      <w:tcPr>
        <w:shd w:fill="e5dfec" w:val="clear"/>
      </w:tcPr>
    </w:tblStylePr>
    <w:tblStylePr w:type="band1Vert">
      <w:tcPr>
        <w:shd w:fill="e5dfec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8064a2" w:space="0" w:sz="4" w:val="single"/>
          <w:left w:color="8064a2" w:space="0" w:sz="4" w:val="single"/>
          <w:bottom w:color="8064a2" w:space="0" w:sz="4" w:val="single"/>
          <w:right w:color="8064a2" w:space="0" w:sz="4" w:val="single"/>
          <w:insideH w:color="000000" w:space="0" w:sz="0" w:val="nil"/>
          <w:insideV w:color="000000" w:space="0" w:sz="0" w:val="nil"/>
        </w:tcBorders>
        <w:shd w:fill="8064a2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064a2" w:space="0" w:sz="4" w:val="single"/>
        </w:tcBorders>
      </w:tcPr>
    </w:tblStyle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72.0" w:type="dxa"/>
        <w:left w:w="72.0" w:type="dxa"/>
        <w:bottom w:w="72.0" w:type="dxa"/>
        <w:right w:w="72.0" w:type="dxa"/>
      </w:tblCellMar>
    </w:tblPr>
    <w:tblStylePr w:type="band1Horz">
      <w:tcPr>
        <w:shd w:fill="e5dfec" w:val="clear"/>
      </w:tcPr>
    </w:tblStylePr>
    <w:tblStylePr w:type="band1Vert">
      <w:tcPr>
        <w:shd w:fill="e5dfec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8064a2" w:space="0" w:sz="4" w:val="single"/>
          <w:left w:color="8064a2" w:space="0" w:sz="4" w:val="single"/>
          <w:bottom w:color="8064a2" w:space="0" w:sz="4" w:val="single"/>
          <w:right w:color="8064a2" w:space="0" w:sz="4" w:val="single"/>
          <w:insideH w:color="000000" w:space="0" w:sz="0" w:val="nil"/>
          <w:insideV w:color="000000" w:space="0" w:sz="0" w:val="nil"/>
        </w:tcBorders>
        <w:shd w:fill="8064a2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8064a2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ublicSansMedium-regular.ttf"/><Relationship Id="rId2" Type="http://schemas.openxmlformats.org/officeDocument/2006/relationships/font" Target="fonts/PublicSansMedium-bold.ttf"/><Relationship Id="rId3" Type="http://schemas.openxmlformats.org/officeDocument/2006/relationships/font" Target="fonts/PublicSansMedium-italic.ttf"/><Relationship Id="rId4" Type="http://schemas.openxmlformats.org/officeDocument/2006/relationships/font" Target="fonts/PublicSansMedium-boldItalic.ttf"/><Relationship Id="rId11" Type="http://schemas.openxmlformats.org/officeDocument/2006/relationships/font" Target="fonts/PublicSansSemiBold-italic.ttf"/><Relationship Id="rId10" Type="http://schemas.openxmlformats.org/officeDocument/2006/relationships/font" Target="fonts/PublicSansSemiBold-bold.ttf"/><Relationship Id="rId12" Type="http://schemas.openxmlformats.org/officeDocument/2006/relationships/font" Target="fonts/PublicSansSemiBold-boldItalic.ttf"/><Relationship Id="rId9" Type="http://schemas.openxmlformats.org/officeDocument/2006/relationships/font" Target="fonts/PublicSansSemiBold-regular.ttf"/><Relationship Id="rId5" Type="http://schemas.openxmlformats.org/officeDocument/2006/relationships/font" Target="fonts/PublicSans-regular.ttf"/><Relationship Id="rId6" Type="http://schemas.openxmlformats.org/officeDocument/2006/relationships/font" Target="fonts/PublicSans-bold.ttf"/><Relationship Id="rId7" Type="http://schemas.openxmlformats.org/officeDocument/2006/relationships/font" Target="fonts/PublicSans-italic.ttf"/><Relationship Id="rId8" Type="http://schemas.openxmlformats.org/officeDocument/2006/relationships/font" Target="fonts/Public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